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rPr>
          <w:rFonts w:hint="eastAsia"/>
          <w:kern w:val="0"/>
          <w:highlight w:val="none"/>
        </w:rPr>
      </w:pPr>
      <w:r>
        <w:rPr>
          <w:rFonts w:hint="eastAsia"/>
          <w:kern w:val="0"/>
          <w:highlight w:val="none"/>
        </w:rPr>
        <w:t>附表2</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4"/>
        <w:tblW w:w="10000" w:type="dxa"/>
        <w:jc w:val="center"/>
        <w:tblLayout w:type="fixed"/>
        <w:tblCellMar>
          <w:top w:w="0" w:type="dxa"/>
          <w:left w:w="108" w:type="dxa"/>
          <w:bottom w:w="0" w:type="dxa"/>
          <w:right w:w="108" w:type="dxa"/>
        </w:tblCellMar>
      </w:tblPr>
      <w:tblGrid>
        <w:gridCol w:w="1056"/>
        <w:gridCol w:w="1131"/>
        <w:gridCol w:w="1031"/>
        <w:gridCol w:w="1275"/>
        <w:gridCol w:w="1238"/>
        <w:gridCol w:w="1331"/>
        <w:gridCol w:w="731"/>
        <w:gridCol w:w="919"/>
        <w:gridCol w:w="1288"/>
      </w:tblGrid>
      <w:tr>
        <w:tblPrEx>
          <w:tblCellMar>
            <w:top w:w="0" w:type="dxa"/>
            <w:left w:w="108" w:type="dxa"/>
            <w:bottom w:w="0" w:type="dxa"/>
            <w:right w:w="108" w:type="dxa"/>
          </w:tblCellMar>
        </w:tblPrEx>
        <w:trPr>
          <w:jc w:val="center"/>
        </w:trPr>
        <w:tc>
          <w:tcPr>
            <w:tcW w:w="105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部门名称</w:t>
            </w:r>
          </w:p>
        </w:tc>
        <w:tc>
          <w:tcPr>
            <w:tcW w:w="8944"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岳阳市洞庭湖江豚保护中心</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5"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23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3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919"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28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62" w:type="dxa"/>
            <w:gridSpan w:val="2"/>
            <w:tcBorders>
              <w:top w:val="nil"/>
              <w:left w:val="nil"/>
              <w:bottom w:val="single" w:color="auto" w:sz="4" w:space="0"/>
              <w:right w:val="single" w:color="auto" w:sz="4" w:space="0"/>
            </w:tcBorders>
            <w:noWrap w:val="0"/>
            <w:vAlign w:val="center"/>
          </w:tcPr>
          <w:p>
            <w:pPr>
              <w:spacing w:line="240" w:lineRule="exact"/>
              <w:ind w:left="0" w:leftChars="0" w:firstLine="0" w:firstLineChars="0"/>
              <w:jc w:val="both"/>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5"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81.30</w:t>
            </w:r>
          </w:p>
        </w:tc>
        <w:tc>
          <w:tcPr>
            <w:tcW w:w="123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300.62</w:t>
            </w:r>
          </w:p>
        </w:tc>
        <w:tc>
          <w:tcPr>
            <w:tcW w:w="13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276.16</w:t>
            </w:r>
          </w:p>
        </w:tc>
        <w:tc>
          <w:tcPr>
            <w:tcW w:w="7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919"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91.91%</w:t>
            </w:r>
          </w:p>
        </w:tc>
        <w:tc>
          <w:tcPr>
            <w:tcW w:w="128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9.2</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  一般公共预算：</w:t>
            </w:r>
            <w:r>
              <w:rPr>
                <w:rFonts w:hint="eastAsia" w:ascii="仿宋_GB2312" w:hAnsi="仿宋_GB2312" w:cs="仿宋_GB2312"/>
                <w:color w:val="000000"/>
                <w:sz w:val="20"/>
                <w:szCs w:val="20"/>
                <w:lang w:val="en-US" w:eastAsia="zh-CN"/>
              </w:rPr>
              <w:t>300.48</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ind w:firstLine="1000" w:firstLineChars="5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基本支出：</w:t>
            </w:r>
            <w:r>
              <w:rPr>
                <w:rFonts w:hint="eastAsia" w:ascii="仿宋_GB2312" w:hAnsi="仿宋_GB2312" w:eastAsia="仿宋_GB2312" w:cs="仿宋_GB2312"/>
                <w:color w:val="000000"/>
                <w:sz w:val="20"/>
                <w:szCs w:val="20"/>
                <w:lang w:val="en-US" w:eastAsia="zh-CN"/>
              </w:rPr>
              <w:t>98.30</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lang w:val="en-US" w:eastAsia="zh-CN"/>
              </w:rPr>
              <w:t>177.86</w:t>
            </w:r>
          </w:p>
        </w:tc>
      </w:tr>
      <w:tr>
        <w:tblPrEx>
          <w:tblCellMar>
            <w:top w:w="0" w:type="dxa"/>
            <w:left w:w="108" w:type="dxa"/>
            <w:bottom w:w="0" w:type="dxa"/>
            <w:right w:w="108" w:type="dxa"/>
          </w:tblCellMar>
        </w:tblPrEx>
        <w:trPr>
          <w:jc w:val="center"/>
        </w:trPr>
        <w:tc>
          <w:tcPr>
            <w:tcW w:w="105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0.14</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ind w:firstLine="1000" w:firstLineChars="500"/>
              <w:jc w:val="left"/>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val="en-US" w:eastAsia="zh-CN"/>
              </w:rPr>
              <w:t>经营支出 ：</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7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eastAsia="zh-CN"/>
              </w:rPr>
              <w:t>年初设定</w:t>
            </w:r>
            <w:r>
              <w:rPr>
                <w:rFonts w:hint="eastAsia" w:ascii="仿宋_GB2312" w:hAnsi="仿宋_GB2312" w:eastAsia="仿宋_GB2312" w:cs="仿宋_GB2312"/>
                <w:color w:val="000000"/>
                <w:sz w:val="20"/>
                <w:szCs w:val="20"/>
              </w:rPr>
              <w:t>目标</w:t>
            </w:r>
          </w:p>
        </w:tc>
        <w:tc>
          <w:tcPr>
            <w:tcW w:w="426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eastAsia="zh-CN"/>
              </w:rPr>
              <w:t>全年</w:t>
            </w: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firstLine="400" w:firstLineChars="200"/>
              <w:jc w:val="both"/>
              <w:textAlignment w:val="auto"/>
              <w:rPr>
                <w:rFonts w:hint="eastAsia"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1、完成水产种质资源保护区内水生生物资源及其生存环境的监测、资源养护和生态修复等工作；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2、完成保护区及长江岳阳段范围内珍贵、濒危水生野生动物保护及长江江豚的救护工作；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3、完成保护区范围内涉水涉渔工程项目及生态补偿资源和生态补偿措施落实的行政辅助工作；                                            </w:t>
            </w:r>
            <w:r>
              <w:rPr>
                <w:rFonts w:hint="eastAsia" w:ascii="仿宋_GB2312" w:hAnsi="仿宋_GB2312" w:cs="仿宋_GB2312"/>
                <w:b w:val="0"/>
                <w:bCs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b w:val="0"/>
                <w:bCs w:val="0"/>
                <w:sz w:val="20"/>
                <w:szCs w:val="20"/>
                <w:lang w:val="en-US" w:eastAsia="zh-CN"/>
              </w:rPr>
              <w:t>4、完成保护长江江豚和其他珍贵、濒危水生野生动物及水产种质资源保护区的宣传教育工作。</w:t>
            </w:r>
          </w:p>
        </w:tc>
        <w:tc>
          <w:tcPr>
            <w:tcW w:w="4269"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left="0" w:leftChars="0" w:firstLine="0" w:firstLineChars="0"/>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1.</w:t>
            </w:r>
            <w:r>
              <w:rPr>
                <w:rFonts w:hint="eastAsia" w:ascii="仿宋_GB2312" w:hAnsi="仿宋_GB2312" w:eastAsia="仿宋_GB2312" w:cs="仿宋_GB2312"/>
                <w:color w:val="000000"/>
                <w:sz w:val="20"/>
                <w:szCs w:val="20"/>
                <w:lang w:val="en-US" w:eastAsia="zh-CN"/>
              </w:rPr>
              <w:t>完成</w:t>
            </w:r>
            <w:r>
              <w:rPr>
                <w:rFonts w:hint="eastAsia" w:ascii="仿宋_GB2312" w:hAnsi="仿宋_GB2312" w:eastAsia="仿宋_GB2312" w:cs="仿宋_GB2312"/>
                <w:color w:val="000000"/>
                <w:sz w:val="20"/>
                <w:szCs w:val="20"/>
              </w:rPr>
              <w:t>水产种质资源保护区内水生生物资源及生存环境的监测1次，长江江豚生态科学考察1次，保护区内外来物种调查1次。</w:t>
            </w:r>
            <w:r>
              <w:rPr>
                <w:rFonts w:hint="eastAsia" w:ascii="仿宋_GB2312" w:hAnsi="仿宋_GB2312" w:eastAsia="仿宋_GB2312" w:cs="仿宋_GB2312"/>
                <w:color w:val="000000"/>
                <w:sz w:val="20"/>
                <w:szCs w:val="20"/>
                <w:lang w:val="en-US" w:eastAsia="zh-CN"/>
              </w:rPr>
              <w:t>合计3次。</w:t>
            </w:r>
            <w:r>
              <w:rPr>
                <w:rFonts w:hint="eastAsia" w:ascii="仿宋_GB2312" w:hAnsi="仿宋_GB2312" w:eastAsia="仿宋_GB2312" w:cs="仿宋_GB2312"/>
                <w:color w:val="000000"/>
                <w:sz w:val="20"/>
                <w:szCs w:val="20"/>
              </w:rPr>
              <w:t>2.开展资源养护行动，人工增殖放流1次，共放流鲴鱼苗</w:t>
            </w:r>
            <w:r>
              <w:rPr>
                <w:rFonts w:hint="eastAsia" w:ascii="仿宋_GB2312" w:hAnsi="仿宋_GB2312" w:eastAsia="仿宋_GB2312" w:cs="仿宋_GB2312"/>
                <w:color w:val="000000"/>
                <w:sz w:val="20"/>
                <w:szCs w:val="20"/>
                <w:lang w:val="en-US" w:eastAsia="zh-CN"/>
              </w:rPr>
              <w:t>4.8</w:t>
            </w:r>
            <w:r>
              <w:rPr>
                <w:rFonts w:hint="eastAsia" w:ascii="仿宋_GB2312" w:hAnsi="仿宋_GB2312" w:eastAsia="仿宋_GB2312" w:cs="仿宋_GB2312"/>
                <w:color w:val="000000"/>
                <w:sz w:val="20"/>
                <w:szCs w:val="20"/>
              </w:rPr>
              <w:t>万尾。3.</w:t>
            </w:r>
            <w:r>
              <w:rPr>
                <w:rFonts w:hint="eastAsia" w:ascii="仿宋_GB2312" w:hAnsi="仿宋_GB2312" w:eastAsia="仿宋_GB2312" w:cs="仿宋_GB2312"/>
                <w:color w:val="000000"/>
                <w:sz w:val="20"/>
                <w:szCs w:val="20"/>
                <w:lang w:val="en-US" w:eastAsia="zh-CN"/>
              </w:rPr>
              <w:t>完成</w:t>
            </w:r>
            <w:r>
              <w:rPr>
                <w:rFonts w:hint="eastAsia" w:ascii="仿宋_GB2312" w:hAnsi="仿宋_GB2312" w:eastAsia="仿宋_GB2312" w:cs="仿宋_GB2312"/>
                <w:color w:val="000000"/>
                <w:sz w:val="20"/>
                <w:szCs w:val="20"/>
              </w:rPr>
              <w:t>“东洞庭湖长江江豚等水生野生动植物生态修复工程项目”</w:t>
            </w:r>
            <w:r>
              <w:rPr>
                <w:rFonts w:hint="eastAsia" w:ascii="仿宋_GB2312" w:hAnsi="仿宋_GB2312" w:eastAsia="仿宋_GB2312" w:cs="仿宋_GB2312"/>
                <w:color w:val="000000"/>
                <w:sz w:val="20"/>
                <w:szCs w:val="20"/>
                <w:lang w:val="en-US" w:eastAsia="zh-CN"/>
              </w:rPr>
              <w:t>的申报，并</w:t>
            </w:r>
            <w:r>
              <w:rPr>
                <w:rFonts w:hint="eastAsia" w:ascii="仿宋_GB2312" w:hAnsi="仿宋_GB2312" w:eastAsia="仿宋_GB2312" w:cs="仿宋_GB2312"/>
                <w:color w:val="000000"/>
                <w:sz w:val="20"/>
                <w:szCs w:val="20"/>
              </w:rPr>
              <w:t>获批。4.开展长江江豚等水生野生动物救护工作。通过加强保护区巡查，对长江江豚主要活动区域坚持每天开展一到两次的巡湖活动，已成功救护长江江豚</w:t>
            </w: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头。</w:t>
            </w:r>
            <w:r>
              <w:rPr>
                <w:rFonts w:hint="eastAsia" w:ascii="仿宋_GB2312" w:hAnsi="仿宋_GB2312" w:eastAsia="仿宋_GB2312" w:cs="仿宋_GB2312"/>
                <w:color w:val="000000"/>
                <w:sz w:val="20"/>
                <w:szCs w:val="20"/>
                <w:lang w:val="en-US" w:eastAsia="zh-CN"/>
              </w:rPr>
              <w:t>5.通过</w:t>
            </w:r>
            <w:r>
              <w:rPr>
                <w:rFonts w:hint="eastAsia" w:ascii="仿宋_GB2312" w:hAnsi="仿宋_GB2312" w:eastAsia="仿宋_GB2312" w:cs="仿宋_GB2312"/>
                <w:color w:val="000000"/>
                <w:sz w:val="20"/>
                <w:szCs w:val="20"/>
              </w:rPr>
              <w:t>发放宣传资料、悬挂标语横幅、设置广告宣传牌、公布长江江豚保护救护电话，更换宣传牌、印制宣传手册等方式，广泛宣传水产种质资源保护及长江江豚保护的重要性</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6.</w:t>
            </w:r>
            <w:r>
              <w:rPr>
                <w:rFonts w:hint="eastAsia" w:ascii="仿宋_GB2312" w:hAnsi="仿宋_GB2312" w:eastAsia="仿宋_GB2312" w:cs="仿宋_GB2312"/>
                <w:color w:val="000000"/>
                <w:sz w:val="20"/>
                <w:szCs w:val="20"/>
              </w:rPr>
              <w:t>落实生态补偿资金</w:t>
            </w:r>
            <w:r>
              <w:rPr>
                <w:rFonts w:hint="eastAsia" w:ascii="仿宋_GB2312" w:hAnsi="仿宋_GB2312" w:eastAsia="仿宋_GB2312" w:cs="仿宋_GB2312"/>
                <w:color w:val="000000"/>
                <w:sz w:val="20"/>
                <w:szCs w:val="20"/>
                <w:lang w:val="en-US" w:eastAsia="zh-CN"/>
              </w:rPr>
              <w:t>319万元。</w:t>
            </w:r>
          </w:p>
          <w:p>
            <w:pPr>
              <w:widowControl/>
              <w:spacing w:line="240" w:lineRule="exact"/>
              <w:jc w:val="left"/>
              <w:rPr>
                <w:rFonts w:hint="default" w:ascii="仿宋_GB2312" w:hAnsi="仿宋_GB2312" w:eastAsia="仿宋_GB2312" w:cs="仿宋_GB2312"/>
                <w:color w:val="000000"/>
                <w:sz w:val="20"/>
                <w:szCs w:val="20"/>
                <w:lang w:val="en-US" w:eastAsia="zh-CN"/>
              </w:rPr>
            </w:pPr>
          </w:p>
        </w:tc>
      </w:tr>
      <w:tr>
        <w:tblPrEx>
          <w:tblCellMar>
            <w:top w:w="0" w:type="dxa"/>
            <w:left w:w="108" w:type="dxa"/>
            <w:bottom w:w="0" w:type="dxa"/>
            <w:right w:w="108" w:type="dxa"/>
          </w:tblCellMar>
        </w:tblPrEx>
        <w:trPr>
          <w:trHeight w:val="458" w:hRule="atLeast"/>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绩效指标</w:t>
            </w:r>
          </w:p>
          <w:p>
            <w:pPr>
              <w:widowControl/>
              <w:spacing w:line="240" w:lineRule="exact"/>
              <w:jc w:val="center"/>
              <w:rPr>
                <w:rFonts w:hint="eastAsia" w:ascii="仿宋_GB2312" w:hAnsi="仿宋_GB2312" w:eastAsia="仿宋_GB2312" w:cs="仿宋_GB2312"/>
                <w:color w:val="000000"/>
                <w:sz w:val="20"/>
                <w:szCs w:val="20"/>
              </w:rPr>
            </w:pPr>
          </w:p>
        </w:tc>
        <w:tc>
          <w:tcPr>
            <w:tcW w:w="11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5"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23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28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配合科研单位开展江豚种群调查</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调查不少于1次</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rPr>
            </w:pP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对保护区进行常态化巡查</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lang w:eastAsia="zh-CN"/>
              </w:rPr>
              <w:t>适航条件下</w:t>
            </w:r>
            <w:r>
              <w:rPr>
                <w:rFonts w:hint="eastAsia" w:eastAsia="仿宋_GB2312"/>
                <w:kern w:val="0"/>
                <w:sz w:val="20"/>
                <w:szCs w:val="20"/>
              </w:rPr>
              <w:t>做到每日巡查</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95%以上</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质量指标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highlight w:val="yellow"/>
              </w:rPr>
            </w:pPr>
            <w:r>
              <w:rPr>
                <w:rFonts w:hint="eastAsia" w:eastAsia="仿宋_GB2312"/>
                <w:color w:val="auto"/>
                <w:kern w:val="0"/>
                <w:sz w:val="20"/>
                <w:szCs w:val="20"/>
                <w:highlight w:val="none"/>
              </w:rPr>
              <w:t>提升保护区工作人员的法律意识</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highlight w:val="yellow"/>
              </w:rPr>
            </w:pPr>
            <w:r>
              <w:rPr>
                <w:rFonts w:hint="eastAsia" w:eastAsia="仿宋_GB2312"/>
                <w:kern w:val="0"/>
                <w:sz w:val="20"/>
                <w:szCs w:val="20"/>
                <w:highlight w:val="none"/>
              </w:rPr>
              <w:t>开展</w:t>
            </w:r>
            <w:r>
              <w:rPr>
                <w:rFonts w:hint="eastAsia" w:eastAsia="仿宋_GB2312"/>
                <w:kern w:val="0"/>
                <w:sz w:val="20"/>
                <w:szCs w:val="20"/>
                <w:highlight w:val="none"/>
                <w:lang w:val="en-US" w:eastAsia="zh-CN"/>
              </w:rPr>
              <w:t>1</w:t>
            </w:r>
            <w:r>
              <w:rPr>
                <w:rFonts w:hint="eastAsia" w:eastAsia="仿宋_GB2312"/>
                <w:kern w:val="0"/>
                <w:sz w:val="20"/>
                <w:szCs w:val="20"/>
                <w:highlight w:val="none"/>
              </w:rPr>
              <w:t>次以上的法律知识培训　</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highlight w:val="yellow"/>
                <w:lang w:val="en-US" w:eastAsia="zh-CN"/>
              </w:rPr>
            </w:pPr>
            <w:r>
              <w:rPr>
                <w:rFonts w:hint="eastAsia" w:ascii="仿宋_GB2312" w:hAnsi="仿宋_GB2312" w:eastAsia="仿宋_GB2312" w:cs="仿宋_GB2312"/>
                <w:color w:val="000000"/>
                <w:sz w:val="20"/>
                <w:szCs w:val="20"/>
                <w:highlight w:val="none"/>
                <w:lang w:val="en-US" w:eastAsia="zh-CN"/>
              </w:rPr>
              <w:t>1次</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按工作计划完成各项任务</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lang w:val="en-US" w:eastAsia="zh-CN"/>
              </w:rPr>
            </w:pPr>
            <w:r>
              <w:rPr>
                <w:rFonts w:hint="eastAsia" w:eastAsia="仿宋_GB2312"/>
                <w:kern w:val="0"/>
                <w:sz w:val="20"/>
                <w:szCs w:val="20"/>
              </w:rPr>
              <w:t>202</w:t>
            </w:r>
            <w:r>
              <w:rPr>
                <w:rFonts w:hint="eastAsia" w:eastAsia="仿宋_GB2312"/>
                <w:kern w:val="0"/>
                <w:sz w:val="20"/>
                <w:szCs w:val="20"/>
                <w:lang w:val="en-US" w:eastAsia="zh-CN"/>
              </w:rPr>
              <w:t>2</w:t>
            </w:r>
            <w:r>
              <w:rPr>
                <w:rFonts w:hint="eastAsia" w:eastAsia="仿宋_GB2312"/>
                <w:kern w:val="0"/>
                <w:sz w:val="20"/>
                <w:szCs w:val="20"/>
              </w:rPr>
              <w:t>年</w:t>
            </w:r>
            <w:r>
              <w:rPr>
                <w:rFonts w:hint="eastAsia" w:eastAsia="仿宋_GB2312"/>
                <w:kern w:val="0"/>
                <w:sz w:val="20"/>
                <w:szCs w:val="20"/>
                <w:lang w:val="en-US" w:eastAsia="zh-CN"/>
              </w:rPr>
              <w:t>12月31日前</w:t>
            </w:r>
            <w:r>
              <w:rPr>
                <w:rFonts w:hint="eastAsia" w:eastAsia="仿宋_GB2312"/>
                <w:kern w:val="0"/>
                <w:sz w:val="20"/>
                <w:szCs w:val="20"/>
              </w:rPr>
              <w:t>完成</w:t>
            </w:r>
            <w:r>
              <w:rPr>
                <w:rFonts w:hint="eastAsia" w:eastAsia="仿宋_GB2312"/>
                <w:kern w:val="0"/>
                <w:sz w:val="20"/>
                <w:szCs w:val="20"/>
                <w:lang w:val="en-US" w:eastAsia="zh-CN"/>
              </w:rPr>
              <w:t>。</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压缩巡护成本，提高巡护效</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成本控制在预算内</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lang w:eastAsia="zh-CN"/>
              </w:rPr>
            </w:pPr>
            <w:r>
              <w:rPr>
                <w:rFonts w:hint="eastAsia" w:eastAsia="仿宋_GB2312"/>
                <w:kern w:val="0"/>
                <w:sz w:val="20"/>
                <w:szCs w:val="20"/>
                <w:lang w:eastAsia="zh-CN"/>
              </w:rPr>
              <w:t>无</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rPr>
            </w:pPr>
            <w:r>
              <w:rPr>
                <w:rFonts w:hint="eastAsia" w:eastAsia="仿宋_GB2312"/>
                <w:kern w:val="0"/>
                <w:sz w:val="20"/>
                <w:szCs w:val="20"/>
                <w:lang w:eastAsia="zh-CN"/>
              </w:rPr>
              <w:t>无</w:t>
            </w:r>
            <w:r>
              <w:rPr>
                <w:rFonts w:hint="eastAsia" w:eastAsia="仿宋_GB2312"/>
                <w:kern w:val="0"/>
                <w:sz w:val="20"/>
                <w:szCs w:val="20"/>
              </w:rPr>
              <w:t>　</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1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提升生态保护的社会参与度和认可度。</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社会认可度提升至95%　</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优化江豚等水生生物的生存环境，洞庭湖生态环境向好发展。</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协调相关职能部门遏制保护区范围内的非法采砂和非法捕捞</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基本</w:t>
            </w:r>
            <w:r>
              <w:rPr>
                <w:rFonts w:hint="eastAsia" w:ascii="仿宋_GB2312" w:hAnsi="仿宋_GB2312" w:eastAsia="仿宋_GB2312" w:cs="仿宋_GB2312"/>
                <w:color w:val="000000"/>
                <w:sz w:val="20"/>
                <w:szCs w:val="20"/>
                <w:lang w:eastAsia="zh-CN"/>
              </w:rPr>
              <w:t>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default" w:ascii="仿宋_GB2312" w:hAnsi="仿宋_GB2312" w:eastAsia="仿宋_GB2312" w:cs="仿宋_GB2312"/>
                <w:color w:val="000000"/>
                <w:sz w:val="20"/>
                <w:szCs w:val="20"/>
                <w:lang w:val="en-US" w:eastAsia="zh-CN"/>
              </w:rPr>
            </w:pPr>
          </w:p>
        </w:tc>
      </w:tr>
      <w:tr>
        <w:tblPrEx>
          <w:tblCellMar>
            <w:top w:w="0" w:type="dxa"/>
            <w:left w:w="108" w:type="dxa"/>
            <w:bottom w:w="0" w:type="dxa"/>
            <w:right w:w="108" w:type="dxa"/>
          </w:tblCellMar>
        </w:tblPrEx>
        <w:trPr>
          <w:trHeight w:val="290"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实现</w:t>
            </w:r>
            <w:r>
              <w:rPr>
                <w:rFonts w:hint="eastAsia" w:eastAsia="仿宋_GB2312"/>
                <w:kern w:val="0"/>
                <w:sz w:val="20"/>
                <w:szCs w:val="20"/>
                <w:lang w:eastAsia="zh-CN"/>
              </w:rPr>
              <w:t>长江</w:t>
            </w:r>
            <w:r>
              <w:rPr>
                <w:rFonts w:hint="eastAsia" w:eastAsia="仿宋_GB2312"/>
                <w:kern w:val="0"/>
                <w:sz w:val="20"/>
                <w:szCs w:val="20"/>
              </w:rPr>
              <w:t>江豚种群可持续发展</w:t>
            </w:r>
          </w:p>
        </w:tc>
        <w:tc>
          <w:tcPr>
            <w:tcW w:w="1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力争</w:t>
            </w:r>
            <w:r>
              <w:rPr>
                <w:rFonts w:hint="eastAsia" w:eastAsia="仿宋_GB2312"/>
                <w:kern w:val="0"/>
                <w:sz w:val="20"/>
                <w:szCs w:val="20"/>
                <w:lang w:eastAsia="zh-CN"/>
              </w:rPr>
              <w:t>长江</w:t>
            </w:r>
            <w:r>
              <w:rPr>
                <w:rFonts w:hint="eastAsia" w:eastAsia="仿宋_GB2312"/>
                <w:kern w:val="0"/>
                <w:sz w:val="20"/>
                <w:szCs w:val="20"/>
              </w:rPr>
              <w:t>江豚种群数量稳中有升　</w:t>
            </w:r>
          </w:p>
        </w:tc>
        <w:tc>
          <w:tcPr>
            <w:tcW w:w="13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已完成，数量显著增加</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9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33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满意度指标</w:t>
            </w:r>
          </w:p>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群众满意度</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textAlignment w:val="auto"/>
              <w:rPr>
                <w:rFonts w:hint="eastAsia" w:eastAsia="仿宋_GB2312"/>
                <w:kern w:val="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270" w:hRule="atLeast"/>
          <w:jc w:val="center"/>
        </w:trPr>
        <w:tc>
          <w:tcPr>
            <w:tcW w:w="7062"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99.20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lang w:val="en-US"/>
              </w:rPr>
            </w:pPr>
          </w:p>
        </w:tc>
      </w:tr>
    </w:tbl>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rPr>
          <w:rFonts w:hint="eastAsia"/>
          <w:kern w:val="0"/>
          <w:highlight w:val="none"/>
        </w:rPr>
      </w:pPr>
    </w:p>
    <w:p>
      <w:pPr>
        <w:pStyle w:val="2"/>
        <w:rPr>
          <w:rFonts w:hint="eastAsia"/>
          <w:kern w:val="0"/>
          <w:highlight w:val="none"/>
        </w:rPr>
      </w:pPr>
    </w:p>
    <w:p>
      <w:pPr>
        <w:pStyle w:val="2"/>
        <w:rPr>
          <w:rFonts w:hint="eastAsia"/>
          <w:kern w:val="0"/>
          <w:highlight w:val="none"/>
        </w:rPr>
      </w:pPr>
    </w:p>
    <w:p>
      <w:pPr>
        <w:pStyle w:val="3"/>
        <w:ind w:firstLine="0" w:firstLineChars="0"/>
        <w:rPr>
          <w:rFonts w:hint="eastAsia"/>
          <w:kern w:val="0"/>
          <w:highlight w:val="none"/>
        </w:rPr>
      </w:pPr>
    </w:p>
    <w:p>
      <w:pPr>
        <w:pStyle w:val="3"/>
        <w:ind w:firstLine="0" w:firstLineChars="0"/>
        <w:rPr>
          <w:rFonts w:hint="eastAsia"/>
          <w:kern w:val="0"/>
          <w:highlight w:val="none"/>
        </w:rPr>
      </w:pP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3934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79" w:lineRule="atLeas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2"/>
    <w:basedOn w:val="1"/>
    <w:next w:val="1"/>
    <w:qFormat/>
    <w:uiPriority w:val="9"/>
    <w:pPr>
      <w:outlineLvl w:val="1"/>
    </w:pPr>
    <w:rPr>
      <w:rFonts w:eastAsia="黑体"/>
      <w:bCs/>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农业农村局</dc:creator>
  <cp:lastModifiedBy>贵琳</cp:lastModifiedBy>
  <dcterms:modified xsi:type="dcterms:W3CDTF">2023-07-17T09:39:59Z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A16E93B7867B4D0A9A51FF30B2FD625D</vt:lpwstr>
  </property>
</Properties>
</file>